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sidR="00225918">
        <w:rPr>
          <w:rFonts w:ascii="Times New Roman" w:eastAsia="Times New Roman" w:hAnsi="Times New Roman" w:cs="Times New Roman"/>
          <w:b/>
          <w:bCs/>
          <w:lang w:eastAsia="pl-PL"/>
        </w:rPr>
        <w:t>8</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F74B3C" w:rsidRPr="00F74B3C" w:rsidRDefault="00E72663" w:rsidP="00F74B3C">
      <w:pPr>
        <w:spacing w:after="0" w:line="360" w:lineRule="auto"/>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w:t>
      </w:r>
      <w:r w:rsidR="00F74B3C" w:rsidRPr="00F74B3C">
        <w:rPr>
          <w:rFonts w:ascii="Times New Roman" w:eastAsia="Calibri" w:hAnsi="Times New Roman" w:cs="Times New Roman"/>
          <w:b/>
        </w:rPr>
        <w:t>Remont drogi gminnej Nr 308008T Napęków przez wieś od km 0+000 do km 0+338</w:t>
      </w:r>
      <w:r w:rsidR="00F74B3C">
        <w:rPr>
          <w:rFonts w:ascii="Times New Roman" w:eastAsia="Calibri" w:hAnsi="Times New Roman" w:cs="Times New Roman"/>
          <w:b/>
        </w:rPr>
        <w:t>.</w:t>
      </w:r>
    </w:p>
    <w:p w:rsidR="00BB5AAA" w:rsidRPr="003C6AFE" w:rsidRDefault="00E72663" w:rsidP="003C6AFE">
      <w:pPr>
        <w:spacing w:after="0" w:line="36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 xml:space="preserve">Termin zakończenia realizacji przedmiotu Umowy ustala się do </w:t>
      </w:r>
      <w:r w:rsidR="00A95863">
        <w:rPr>
          <w:rFonts w:ascii="Times New Roman" w:eastAsia="Times New Roman" w:hAnsi="Times New Roman" w:cs="Times New Roman"/>
          <w:b/>
          <w:lang w:eastAsia="pl-PL"/>
        </w:rPr>
        <w:t>15.10.</w:t>
      </w:r>
      <w:r w:rsidRPr="00F74B3C">
        <w:rPr>
          <w:rFonts w:ascii="Times New Roman" w:eastAsia="Times New Roman" w:hAnsi="Times New Roman" w:cs="Times New Roman"/>
          <w:b/>
          <w:lang w:eastAsia="pl-PL"/>
        </w:rPr>
        <w:t>201</w:t>
      </w:r>
      <w:r w:rsidR="002372F1" w:rsidRPr="00F74B3C">
        <w:rPr>
          <w:rFonts w:ascii="Times New Roman" w:eastAsia="Times New Roman" w:hAnsi="Times New Roman" w:cs="Times New Roman"/>
          <w:b/>
          <w:lang w:eastAsia="pl-PL"/>
        </w:rPr>
        <w:t>8</w:t>
      </w:r>
      <w:r w:rsidR="003C6AFE" w:rsidRPr="00F74B3C">
        <w:rPr>
          <w:rFonts w:ascii="Times New Roman" w:eastAsia="Times New Roman" w:hAnsi="Times New Roman" w:cs="Times New Roman"/>
          <w:b/>
          <w:lang w:eastAsia="pl-PL"/>
        </w:rPr>
        <w:t xml:space="preserve"> </w:t>
      </w:r>
      <w:r w:rsidRPr="00F74B3C">
        <w:rPr>
          <w:rFonts w:ascii="Times New Roman" w:eastAsia="Times New Roman" w:hAnsi="Times New Roman" w:cs="Times New Roman"/>
          <w:b/>
          <w:lang w:eastAsia="pl-PL"/>
        </w:rPr>
        <w:t>r.</w:t>
      </w:r>
      <w:r w:rsidRPr="00D50888">
        <w:rPr>
          <w:rFonts w:ascii="Times New Roman" w:eastAsia="Times New Roman" w:hAnsi="Times New Roman" w:cs="Times New Roman"/>
          <w:lang w:eastAsia="pl-PL"/>
        </w:rPr>
        <w:t xml:space="preserve">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Ponoszenia pełnej odpowiedzialności za stan i przestrzeganie przepisów bhp, ochronę </w:t>
      </w:r>
      <w:proofErr w:type="spellStart"/>
      <w:r w:rsidRPr="00E72663">
        <w:rPr>
          <w:rFonts w:ascii="Times New Roman" w:eastAsia="Times New Roman" w:hAnsi="Times New Roman" w:cs="Times New Roman"/>
          <w:color w:val="000000"/>
          <w:lang w:eastAsia="pl-PL"/>
        </w:rPr>
        <w:t>p.poż</w:t>
      </w:r>
      <w:proofErr w:type="spellEnd"/>
      <w:r w:rsidRPr="00E72663">
        <w:rPr>
          <w:rFonts w:ascii="Times New Roman" w:eastAsia="Times New Roman" w:hAnsi="Times New Roman" w:cs="Times New Roman"/>
          <w:color w:val="000000"/>
          <w:lang w:eastAsia="pl-PL"/>
        </w:rPr>
        <w:t xml:space="preserve">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w:t>
      </w:r>
      <w:proofErr w:type="spellStart"/>
      <w:r w:rsidRPr="00E72663">
        <w:rPr>
          <w:rFonts w:ascii="Times New Roman" w:eastAsia="Times New Roman" w:hAnsi="Times New Roman" w:cs="Times New Roman"/>
          <w:lang w:eastAsia="pl-PL"/>
        </w:rPr>
        <w:t>p.poż</w:t>
      </w:r>
      <w:proofErr w:type="spellEnd"/>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w:t>
      </w:r>
      <w:r w:rsidRPr="009A2D3F">
        <w:rPr>
          <w:rFonts w:ascii="Times New Roman" w:eastAsia="Times New Roman" w:hAnsi="Times New Roman" w:cs="Times New Roman"/>
          <w:lang w:eastAsia="pl-PL"/>
        </w:rPr>
        <w:lastRenderedPageBreak/>
        <w:t xml:space="preserve">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777FE1" w:rsidRPr="00E72663" w:rsidRDefault="00E72663" w:rsidP="00A95863">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r w:rsidR="003C6AFE">
        <w:rPr>
          <w:rFonts w:ascii="Times New Roman" w:eastAsia="Times New Roman" w:hAnsi="Times New Roman" w:cs="Times New Roman"/>
          <w:b/>
          <w:color w:val="000000"/>
          <w:lang w:eastAsia="pl-PL"/>
        </w:rPr>
        <w:t xml:space="preserve"> w </w:t>
      </w:r>
      <w:bookmarkStart w:id="0" w:name="_GoBack"/>
      <w:bookmarkEnd w:id="0"/>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lastRenderedPageBreak/>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lastRenderedPageBreak/>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w:t>
      </w:r>
      <w:r w:rsidRPr="00E72663">
        <w:rPr>
          <w:rFonts w:ascii="Times New Roman" w:eastAsia="Times New Roman" w:hAnsi="Times New Roman" w:cs="Times New Roman"/>
          <w:lang w:eastAsia="pl-PL"/>
        </w:rPr>
        <w:lastRenderedPageBreak/>
        <w:t>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w:t>
      </w:r>
      <w:r w:rsidRPr="00BF293E">
        <w:rPr>
          <w:sz w:val="22"/>
          <w:szCs w:val="22"/>
        </w:rPr>
        <w:lastRenderedPageBreak/>
        <w:t>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lastRenderedPageBreak/>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lastRenderedPageBreak/>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225918">
        <w:rPr>
          <w:rFonts w:ascii="Times New Roman" w:eastAsia="Times New Roman" w:hAnsi="Times New Roman" w:cs="Times New Roman"/>
          <w:lang w:eastAsia="pl-PL"/>
        </w:rPr>
        <w:t>7</w:t>
      </w:r>
      <w:r w:rsidR="00773AF9">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 xml:space="preserve">r. poz. </w:t>
      </w:r>
      <w:r w:rsidR="00225918">
        <w:rPr>
          <w:rFonts w:ascii="Times New Roman" w:eastAsia="Times New Roman" w:hAnsi="Times New Roman" w:cs="Times New Roman"/>
          <w:lang w:eastAsia="pl-PL"/>
        </w:rPr>
        <w:t>1579</w:t>
      </w:r>
      <w:r w:rsidRPr="00E72663">
        <w:rPr>
          <w:rFonts w:ascii="Times New Roman" w:eastAsia="Times New Roman" w:hAnsi="Times New Roman" w:cs="Times New Roman"/>
          <w:lang w:eastAsia="pl-PL"/>
        </w:rPr>
        <w:t>),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przedmiar robót - załącznik nr 2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footerReference w:type="default" r:id="rId8"/>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9A" w:rsidRDefault="0087009A" w:rsidP="00227859">
      <w:pPr>
        <w:spacing w:after="0" w:line="240" w:lineRule="auto"/>
      </w:pPr>
      <w:r>
        <w:separator/>
      </w:r>
    </w:p>
  </w:endnote>
  <w:endnote w:type="continuationSeparator" w:id="0">
    <w:p w:rsidR="0087009A" w:rsidRDefault="0087009A"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A95863">
          <w:rPr>
            <w:noProof/>
          </w:rPr>
          <w:t>1</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9A" w:rsidRDefault="0087009A" w:rsidP="00227859">
      <w:pPr>
        <w:spacing w:after="0" w:line="240" w:lineRule="auto"/>
      </w:pPr>
      <w:r>
        <w:separator/>
      </w:r>
    </w:p>
  </w:footnote>
  <w:footnote w:type="continuationSeparator" w:id="0">
    <w:p w:rsidR="0087009A" w:rsidRDefault="0087009A" w:rsidP="0022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15FDE"/>
    <w:rsid w:val="000B4C02"/>
    <w:rsid w:val="00102144"/>
    <w:rsid w:val="0010242A"/>
    <w:rsid w:val="0016587A"/>
    <w:rsid w:val="00225918"/>
    <w:rsid w:val="00227859"/>
    <w:rsid w:val="002372F1"/>
    <w:rsid w:val="003C6AFE"/>
    <w:rsid w:val="004820DD"/>
    <w:rsid w:val="004F5E18"/>
    <w:rsid w:val="00510F94"/>
    <w:rsid w:val="00535CF1"/>
    <w:rsid w:val="00537A52"/>
    <w:rsid w:val="00542B03"/>
    <w:rsid w:val="005D3345"/>
    <w:rsid w:val="0060235E"/>
    <w:rsid w:val="006E4149"/>
    <w:rsid w:val="00747053"/>
    <w:rsid w:val="0077048D"/>
    <w:rsid w:val="00773AF9"/>
    <w:rsid w:val="00777FE1"/>
    <w:rsid w:val="007C0DF1"/>
    <w:rsid w:val="007E480B"/>
    <w:rsid w:val="00843A27"/>
    <w:rsid w:val="00856520"/>
    <w:rsid w:val="00864802"/>
    <w:rsid w:val="0087009A"/>
    <w:rsid w:val="00900C71"/>
    <w:rsid w:val="00915A32"/>
    <w:rsid w:val="009A2D3F"/>
    <w:rsid w:val="009E5DC0"/>
    <w:rsid w:val="00A12D18"/>
    <w:rsid w:val="00A53F59"/>
    <w:rsid w:val="00A7616D"/>
    <w:rsid w:val="00A95863"/>
    <w:rsid w:val="00AA47AF"/>
    <w:rsid w:val="00AA5A9D"/>
    <w:rsid w:val="00AB08E5"/>
    <w:rsid w:val="00B41ABA"/>
    <w:rsid w:val="00BB5AAA"/>
    <w:rsid w:val="00BC3216"/>
    <w:rsid w:val="00BF293E"/>
    <w:rsid w:val="00C67F33"/>
    <w:rsid w:val="00D27F8D"/>
    <w:rsid w:val="00D50888"/>
    <w:rsid w:val="00E053A1"/>
    <w:rsid w:val="00E542C6"/>
    <w:rsid w:val="00E72663"/>
    <w:rsid w:val="00EE1724"/>
    <w:rsid w:val="00F05DD9"/>
    <w:rsid w:val="00F74B3C"/>
    <w:rsid w:val="00F94F01"/>
    <w:rsid w:val="00FE460B"/>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7279</Words>
  <Characters>43678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9</cp:revision>
  <cp:lastPrinted>2017-01-11T14:46:00Z</cp:lastPrinted>
  <dcterms:created xsi:type="dcterms:W3CDTF">2018-05-02T07:39:00Z</dcterms:created>
  <dcterms:modified xsi:type="dcterms:W3CDTF">2018-07-04T06:25:00Z</dcterms:modified>
</cp:coreProperties>
</file>